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A2C1" w14:textId="14F75EE7" w:rsidR="007337D9" w:rsidRPr="007337D9" w:rsidRDefault="007337D9" w:rsidP="00EA7FD5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</w:pPr>
      <w:r w:rsidRPr="007337D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gyszeri sport ösztöndíj kiírás</w:t>
      </w:r>
      <w:r w:rsidR="00EA7FD5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 xml:space="preserve"> 202</w:t>
      </w:r>
      <w:r w:rsidR="00BF595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/2</w:t>
      </w:r>
      <w:r w:rsidR="00BF595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5-ö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 xml:space="preserve">s tanév </w:t>
      </w:r>
      <w:r w:rsidR="00BF595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őszi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 xml:space="preserve"> félév</w:t>
      </w:r>
    </w:p>
    <w:p w14:paraId="1D18905F" w14:textId="4BD4B09B" w:rsidR="007337D9" w:rsidRPr="0019272F" w:rsidRDefault="007337D9" w:rsidP="007337D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Az Eötvös Loránd Tudományegyetem (továbbiakban: ELTE) Természettudományi Kar Ösztöndíjbizottsá</w:t>
      </w:r>
      <w:r w:rsidR="004C09D2"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ga (továbbiakban: TTK KÖB) a 202</w:t>
      </w:r>
      <w:r w:rsidR="00BF595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4C09D2"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BF595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4C09D2"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AD730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tanév </w:t>
      </w:r>
      <w:r w:rsidR="00BF5954">
        <w:rPr>
          <w:rFonts w:ascii="Times New Roman" w:eastAsia="Times New Roman" w:hAnsi="Times New Roman" w:cs="Times New Roman"/>
          <w:sz w:val="24"/>
          <w:szCs w:val="24"/>
          <w:lang w:eastAsia="hu-HU"/>
        </w:rPr>
        <w:t>őszi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félévére pályázatot ír ki </w:t>
      </w:r>
      <w:r w:rsidRPr="00192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egyszeri sport ösztöndíj 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elnyerésére az</w:t>
      </w:r>
      <w:r w:rsidR="00FE6CB7"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7" w:history="1">
        <w:r w:rsidRPr="001927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ELTE Hallgatói Követelményrendszer</w:t>
        </w:r>
      </w:hyperlink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 (továbbiakban: HKR) 96. § (6) bekezdés, 97. §</w:t>
      </w:r>
      <w:r w:rsidR="00E907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(9) bekezdés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, 104. § és 562. § (2) alapján, figyelembe véve a HKR 558. § (2) bekezdést.</w:t>
      </w:r>
    </w:p>
    <w:p w14:paraId="52674036" w14:textId="77777777" w:rsidR="007337D9" w:rsidRPr="0019272F" w:rsidRDefault="007337D9" w:rsidP="00733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pályázat célja:</w:t>
      </w:r>
    </w:p>
    <w:p w14:paraId="5E173E31" w14:textId="77777777" w:rsidR="007337D9" w:rsidRPr="0019272F" w:rsidRDefault="007337D9" w:rsidP="007337D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Természettudományi Kar (továbbiakban: a Kar) azon hallgatóinak sportrendezvénnyel kapcsolatos </w:t>
      </w:r>
      <w:r w:rsidR="009524A9"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teljesítményének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524A9"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honorálása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, akik aktívan, versenyzőként vesznek részt a rendezvényen.</w:t>
      </w:r>
    </w:p>
    <w:p w14:paraId="3CB9D131" w14:textId="77777777" w:rsidR="007337D9" w:rsidRPr="0019272F" w:rsidRDefault="007337D9" w:rsidP="007337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Azon hallgatók köre, akik pályázhatnak:</w:t>
      </w:r>
    </w:p>
    <w:p w14:paraId="3F9B1426" w14:textId="77777777" w:rsidR="007337D9" w:rsidRPr="0019272F" w:rsidRDefault="007337D9" w:rsidP="007337D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A kiírásban megnevezett ösztöndíjra pályázhatnak azon hallgatók, akik </w:t>
      </w:r>
      <w:r w:rsidRPr="0019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nappali képzésben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 vesznek részt, </w:t>
      </w:r>
      <w:r w:rsidRPr="0019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aktív hallgatói jogviszonnyal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 rendelkeznek és a Karon tanulmányaikat</w:t>
      </w:r>
    </w:p>
    <w:p w14:paraId="3B60DD5B" w14:textId="77777777" w:rsidR="009524A9" w:rsidRPr="0019272F" w:rsidRDefault="009524A9" w:rsidP="009524A9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alap- vagy mesterképzésben,</w:t>
      </w:r>
    </w:p>
    <w:p w14:paraId="0E18C6F3" w14:textId="36B989C2" w:rsidR="009524A9" w:rsidRPr="0019272F" w:rsidRDefault="009524A9" w:rsidP="009524A9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osztatlan képzésben vagy</w:t>
      </w:r>
    </w:p>
    <w:p w14:paraId="5DD686ED" w14:textId="33073E18" w:rsidR="009524A9" w:rsidRPr="00DA40E8" w:rsidRDefault="009524A9" w:rsidP="00DA40E8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doktori képzésben folytatják.</w:t>
      </w:r>
    </w:p>
    <w:p w14:paraId="0A032BEF" w14:textId="77777777" w:rsidR="007337D9" w:rsidRPr="0019272F" w:rsidRDefault="007337D9" w:rsidP="007337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Pályázat helye és ideje:</w:t>
      </w:r>
    </w:p>
    <w:p w14:paraId="36B930A3" w14:textId="77777777" w:rsidR="009524A9" w:rsidRPr="0019272F" w:rsidRDefault="009524A9" w:rsidP="009524A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pályázatokat a </w:t>
      </w:r>
      <w:proofErr w:type="spellStart"/>
      <w:r w:rsidRPr="0019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Neptun</w:t>
      </w:r>
      <w:proofErr w:type="spellEnd"/>
      <w:r w:rsidRPr="0019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– Ügyintézés menü – Kérvények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 menüpontban lehet leadni.</w:t>
      </w:r>
    </w:p>
    <w:p w14:paraId="3D3CF15C" w14:textId="6FCB7414" w:rsidR="00FF0819" w:rsidRDefault="00FF0819" w:rsidP="00FF081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pályázati időszak: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851D0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BF5954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595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8:00 – 202</w:t>
      </w:r>
      <w:r w:rsidR="00851D0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D7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5954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5954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20:00</w:t>
      </w:r>
    </w:p>
    <w:p w14:paraId="00A9BDE0" w14:textId="3185B189" w:rsidR="009524A9" w:rsidRPr="0019272F" w:rsidRDefault="009524A9" w:rsidP="009524A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pályázatok benyújtására a félév utolsó </w:t>
      </w:r>
      <w:proofErr w:type="spellStart"/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határidejéig</w:t>
      </w:r>
      <w:proofErr w:type="spellEnd"/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, 202</w:t>
      </w:r>
      <w:r w:rsidR="00851D0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AD7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2198C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1</w:t>
      </w:r>
      <w:r w:rsidR="00EE09B9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. 20:00-ig folyamatosan van lehetőség a pályázás kezdetétől (202</w:t>
      </w:r>
      <w:r w:rsidR="00851D0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2198C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98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. 8:00).</w:t>
      </w:r>
      <w:r w:rsidR="00782500" w:rsidRPr="0078250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hu-HU"/>
        </w:rPr>
        <w:t xml:space="preserve"> </w:t>
      </w:r>
      <w:r w:rsidR="00782500" w:rsidRPr="00DA40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következő hóna</w:t>
      </w:r>
      <w:r w:rsidR="00263A28" w:rsidRPr="00DA40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pban való kifizetés az adott hónap </w:t>
      </w:r>
      <w:proofErr w:type="spellStart"/>
      <w:r w:rsidR="00263A28" w:rsidRPr="00DA40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határidejéig</w:t>
      </w:r>
      <w:proofErr w:type="spellEnd"/>
      <w:r w:rsidR="00263A28" w:rsidRPr="00DA40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beadott pályázatok esetén lehetséges.</w:t>
      </w:r>
    </w:p>
    <w:p w14:paraId="0AE5D846" w14:textId="77777777" w:rsidR="009524A9" w:rsidRPr="0019272F" w:rsidRDefault="009524A9" w:rsidP="009524A9">
      <w:pPr>
        <w:shd w:val="clear" w:color="auto" w:fill="F5F5F5"/>
        <w:spacing w:line="408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 pályázati határidők a félévben:</w:t>
      </w:r>
    </w:p>
    <w:p w14:paraId="6B7CA1DB" w14:textId="5336FA70" w:rsidR="0019272F" w:rsidRPr="0019272F" w:rsidRDefault="00BF5954" w:rsidP="0019272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szeptember</w:t>
      </w:r>
      <w:r w:rsidR="0019272F" w:rsidRPr="0019272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</w:t>
      </w:r>
      <w:r w:rsidR="0019272F" w:rsidRPr="0019272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 20:00,</w:t>
      </w:r>
    </w:p>
    <w:p w14:paraId="275A4266" w14:textId="5D0E2966" w:rsidR="0019272F" w:rsidRPr="0019272F" w:rsidRDefault="00BF5954" w:rsidP="0019272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október</w:t>
      </w:r>
      <w:r w:rsidR="0019272F" w:rsidRPr="0019272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DA40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10</w:t>
      </w:r>
      <w:r w:rsidR="0019272F" w:rsidRPr="0019272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 20:00,</w:t>
      </w:r>
    </w:p>
    <w:p w14:paraId="5AC22CE9" w14:textId="77777777" w:rsidR="00BF5954" w:rsidRDefault="00BF5954" w:rsidP="00BF595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november</w:t>
      </w:r>
      <w:r w:rsidR="00FF081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DA40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10</w:t>
      </w:r>
      <w:r w:rsidR="0019272F" w:rsidRPr="0019272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 20:00,</w:t>
      </w:r>
    </w:p>
    <w:p w14:paraId="6702DAC2" w14:textId="688E3EC3" w:rsidR="0019272F" w:rsidRPr="00BF5954" w:rsidRDefault="00BF5954" w:rsidP="00BF595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</w:t>
      </w:r>
      <w:r w:rsidR="00DA40E8" w:rsidRPr="00BF595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10</w:t>
      </w:r>
      <w:r w:rsidR="0019272F" w:rsidRPr="00BF595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 20:00.</w:t>
      </w:r>
    </w:p>
    <w:p w14:paraId="7B6797A6" w14:textId="7AEB0A68" w:rsidR="00DD560D" w:rsidRPr="00DD560D" w:rsidRDefault="00DD560D" w:rsidP="00DD560D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6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Utolsó hiánypótlási határidő:</w:t>
      </w:r>
      <w:r w:rsidRPr="00DD560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EE0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851D00" w:rsidRPr="00EE0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EE0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BF5954" w:rsidRPr="00EE0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december</w:t>
      </w:r>
      <w:r w:rsidRPr="00EE0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BF5954" w:rsidRPr="00EE0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EE09B9" w:rsidRPr="00EE0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EE0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20:00</w:t>
      </w:r>
      <w:r w:rsidRPr="00DD560D">
        <w:rPr>
          <w:rFonts w:ascii="Times New Roman" w:eastAsia="Times New Roman" w:hAnsi="Times New Roman" w:cs="Times New Roman"/>
          <w:sz w:val="24"/>
          <w:szCs w:val="24"/>
          <w:lang w:eastAsia="hu-HU"/>
        </w:rPr>
        <w:t>. A határidő be nem tartása jogvesztő hatályú.</w:t>
      </w:r>
    </w:p>
    <w:p w14:paraId="1E832EE7" w14:textId="77777777" w:rsidR="00524872" w:rsidRPr="00BC138A" w:rsidRDefault="00524872" w:rsidP="00524872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Hiánypótlás általános szabályai és tudnivalói:</w:t>
      </w:r>
    </w:p>
    <w:p w14:paraId="09566701" w14:textId="77777777" w:rsidR="00F263F9" w:rsidRDefault="00F263F9" w:rsidP="00F263F9">
      <w:pPr>
        <w:pStyle w:val="Listaszerbekezds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3F9">
        <w:rPr>
          <w:rFonts w:ascii="Times New Roman" w:eastAsia="Times New Roman" w:hAnsi="Times New Roman" w:cs="Times New Roman"/>
          <w:sz w:val="24"/>
          <w:szCs w:val="24"/>
          <w:lang w:eastAsia="hu-HU"/>
        </w:rPr>
        <w:t>Hiánypótlásra a pályázat leadása után van lehetőség az egész pályázási és hiánypótlási időszakban, amint a hallgató visszakapta javításra a kérvényét.</w:t>
      </w:r>
    </w:p>
    <w:p w14:paraId="75C73E81" w14:textId="77777777" w:rsidR="00F263F9" w:rsidRDefault="00524872" w:rsidP="00F263F9">
      <w:pPr>
        <w:pStyle w:val="Listaszerbekezds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3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hiánypótlásra visszaküldött kérvények javítására a </w:t>
      </w:r>
      <w:proofErr w:type="spellStart"/>
      <w:r w:rsidRPr="00F263F9">
        <w:rPr>
          <w:rFonts w:ascii="Times New Roman" w:eastAsia="Times New Roman" w:hAnsi="Times New Roman" w:cs="Times New Roman"/>
          <w:sz w:val="24"/>
          <w:szCs w:val="24"/>
          <w:lang w:eastAsia="hu-HU"/>
        </w:rPr>
        <w:t>Neptun</w:t>
      </w:r>
      <w:proofErr w:type="spellEnd"/>
      <w:r w:rsidRPr="00F263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Ügyintézés menü – Kérvények menüpont – Leadott kérvények fülnél a pályázat melletti + jelre kattintva, a Javítás paranccsal van lehetőség. A pályázó itt láthatja, milyen nem megfelelő, hiányzó dokumentumok, adatok hiánypótlása, javítása szükséges.</w:t>
      </w:r>
    </w:p>
    <w:p w14:paraId="7D00B095" w14:textId="4D5FF859" w:rsidR="00524872" w:rsidRPr="00F263F9" w:rsidRDefault="00524872" w:rsidP="00F263F9">
      <w:pPr>
        <w:pStyle w:val="Listaszerbekezds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3F9">
        <w:rPr>
          <w:rFonts w:ascii="Times New Roman" w:eastAsia="Times New Roman" w:hAnsi="Times New Roman" w:cs="Times New Roman"/>
          <w:sz w:val="24"/>
          <w:szCs w:val="24"/>
          <w:lang w:eastAsia="hu-HU"/>
        </w:rPr>
        <w:t>Hiánypótlására csak egyetlen alkalommal van lehetőség. Amennyiben a hallgató véglegesítette hiánypótlásra visszaküldött kérvényét, a Bizottság annak tartalma alapján bírálja el a pályázatot.</w:t>
      </w:r>
    </w:p>
    <w:p w14:paraId="22C02440" w14:textId="77777777" w:rsidR="007337D9" w:rsidRPr="0019272F" w:rsidRDefault="007337D9" w:rsidP="007337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pályázás további feltételei és módja:</w:t>
      </w:r>
    </w:p>
    <w:p w14:paraId="403B6279" w14:textId="77777777" w:rsidR="00BA7A4C" w:rsidRPr="0019272F" w:rsidRDefault="007337D9" w:rsidP="007337D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0651039"/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a már </w:t>
      </w:r>
      <w:r w:rsidR="00BA7A4C"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lezárult tevékenységekre van mód támogatást kapni.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13D90C7" w14:textId="4A865B63" w:rsidR="00BA7A4C" w:rsidRPr="0019272F" w:rsidRDefault="00BA7A4C" w:rsidP="00BA7A4C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pályázathoz csatolandó dokumentumok: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End w:id="0"/>
      <w:r w:rsidR="0019272F" w:rsidRPr="0019272F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beszámoló </w:t>
      </w:r>
      <w:r w:rsidR="0019272F" w:rsidRPr="0019272F">
        <w:rPr>
          <w:rFonts w:ascii="Times New Roman" w:hAnsi="Times New Roman" w:cs="Times New Roman"/>
          <w:sz w:val="24"/>
          <w:szCs w:val="24"/>
          <w:shd w:val="clear" w:color="auto" w:fill="FFFFFF"/>
        </w:rPr>
        <w:t>(maximum 1 oldalas összefoglaló a felkészülésről és a versenyen való részvételről)</w:t>
      </w:r>
      <w:r w:rsidR="0019272F" w:rsidRPr="0019272F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, költségvetési összefoglaló és számlák</w:t>
      </w:r>
      <w:r w:rsidR="0019272F" w:rsidRPr="0019272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9272F" w:rsidRPr="0019272F">
        <w:rPr>
          <w:rFonts w:ascii="Times New Roman" w:hAnsi="Times New Roman" w:cs="Times New Roman"/>
          <w:sz w:val="24"/>
          <w:szCs w:val="24"/>
        </w:rPr>
        <w:t>(befizetést igazoló, saját névre szóló eredeti számla </w:t>
      </w:r>
      <w:r w:rsidR="0019272F" w:rsidRPr="00192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a Budapesti Egyetemi Atlétikai Club (továbbiakban: BEAC) keretein belül sportoló és versenyre nevező hallgatók esetében a BEAC nevére kiállított számla is elfogadható, de szükséges hozzá a BEAC igazolása, hogy az adott költségeket a hallgató fizette.) </w:t>
      </w:r>
      <w:r w:rsidR="00F263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Csapatsport esetében, ha a számla nem személyekre szól, </w:t>
      </w:r>
      <w:r w:rsidR="00F263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ott szükséges az egyéni költségekről/csapatlétszámról nyilatkozni. H</w:t>
      </w:r>
      <w:r w:rsidR="0019272F" w:rsidRPr="0019272F">
        <w:rPr>
          <w:rFonts w:ascii="Times New Roman" w:hAnsi="Times New Roman" w:cs="Times New Roman"/>
          <w:sz w:val="24"/>
          <w:szCs w:val="24"/>
          <w:shd w:val="clear" w:color="auto" w:fill="FFFFFF"/>
        </w:rPr>
        <w:t>a a befizetés nem HUF-ban történt, akkor csatolni kell a befizetés időpontjában </w:t>
      </w:r>
      <w:r w:rsidR="0019272F" w:rsidRPr="0019272F">
        <w:rPr>
          <w:rStyle w:val="Kiemels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aktuális valuta árfolyamot is</w:t>
      </w:r>
      <w:r w:rsidR="0019272F" w:rsidRPr="0019272F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14:paraId="71E7ED71" w14:textId="2B086010" w:rsidR="007337D9" w:rsidRPr="0019272F" w:rsidRDefault="007337D9" w:rsidP="007337D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Előre támogatást nem áll módunkban utalni!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lezajlott eseményekre, </w:t>
      </w:r>
      <w:r w:rsidR="00366DA6" w:rsidRPr="007E57D9"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7E57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hónapra</w:t>
      </w:r>
      <w:r w:rsidR="007575D5" w:rsidRPr="007E57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366DA6" w:rsidRPr="007E57D9">
        <w:rPr>
          <w:rFonts w:ascii="Times New Roman" w:eastAsia="Times New Roman" w:hAnsi="Times New Roman" w:cs="Times New Roman"/>
          <w:sz w:val="24"/>
          <w:szCs w:val="24"/>
          <w:lang w:eastAsia="hu-HU"/>
        </w:rPr>
        <w:t>120</w:t>
      </w:r>
      <w:r w:rsidR="007575D5" w:rsidRPr="00366DA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="007575D5"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nap)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visszamenőleg lehet pályázni.</w:t>
      </w:r>
    </w:p>
    <w:p w14:paraId="698D0F5E" w14:textId="77777777" w:rsidR="007337D9" w:rsidRPr="0019272F" w:rsidRDefault="007337D9" w:rsidP="007337D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Pályázni csak olyan tételre lehet, amely </w:t>
      </w:r>
      <w:r w:rsidRPr="0019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nem részesült más forrásból támogatásban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3278D08" w14:textId="7EF4CF91" w:rsidR="0019272F" w:rsidRPr="007E57D9" w:rsidRDefault="0019272F" w:rsidP="00192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Dologi eszközre, valamint szervezési költségekre </w:t>
      </w:r>
      <w:r w:rsidRPr="007E57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NEM</w:t>
      </w:r>
      <w:r w:rsidRPr="007E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adható be pályázat.</w:t>
      </w:r>
      <w:r w:rsidR="00E9077D" w:rsidRPr="007E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Különböző bérletek (pl.: uszodabérlet, konditerem bérlet), illetve tömegsport rendezvények nevezési díját (pl.:5vös</w:t>
      </w:r>
      <w:r w:rsidR="00A33A6D" w:rsidRPr="007E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077D" w:rsidRPr="007E57D9">
        <w:rPr>
          <w:rFonts w:ascii="Times New Roman" w:hAnsi="Times New Roman" w:cs="Times New Roman"/>
          <w:sz w:val="24"/>
          <w:szCs w:val="24"/>
          <w:shd w:val="clear" w:color="auto" w:fill="FFFFFF"/>
        </w:rPr>
        <w:t>5km</w:t>
      </w:r>
      <w:r w:rsidR="00A33A6D" w:rsidRPr="007E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a KÖB nem támogatja. </w:t>
      </w:r>
    </w:p>
    <w:p w14:paraId="230BEA44" w14:textId="1B270640" w:rsidR="0019272F" w:rsidRPr="0019272F" w:rsidRDefault="0019272F" w:rsidP="00192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hAnsi="Times New Roman" w:cs="Times New Roman"/>
          <w:sz w:val="24"/>
          <w:szCs w:val="24"/>
          <w:shd w:val="clear" w:color="auto" w:fill="FFFFFF"/>
        </w:rPr>
        <w:t>A KÖB az alábbi szempontok alapján fogja meghatározni a támogatás összegét, így a pályázatnak ezeket tartalmaznia kell:</w:t>
      </w:r>
    </w:p>
    <w:p w14:paraId="4B5AB761" w14:textId="6B0467B8" w:rsidR="0019272F" w:rsidRPr="0019272F" w:rsidRDefault="0019272F" w:rsidP="001927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verseny/rendezvény szintje (megyei/országos/nemzetközi stb.)</w:t>
      </w:r>
    </w:p>
    <w:p w14:paraId="7239DDED" w14:textId="77777777" w:rsidR="0019272F" w:rsidRPr="0019272F" w:rsidRDefault="0019272F" w:rsidP="001927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A felkészülés hossza, intenzitása</w:t>
      </w:r>
    </w:p>
    <w:p w14:paraId="3103B733" w14:textId="77777777" w:rsidR="0019272F" w:rsidRPr="0019272F" w:rsidRDefault="0019272F" w:rsidP="001927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hallgató/hallgatók elért eredménye</w:t>
      </w:r>
    </w:p>
    <w:p w14:paraId="2F5ED808" w14:textId="1F6CBAE9" w:rsidR="007337D9" w:rsidRPr="00F263F9" w:rsidRDefault="007337D9" w:rsidP="007337D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3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Csoportos pályázat </w:t>
      </w:r>
      <w:r w:rsidR="00F263F9" w:rsidRPr="00F263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adható be!</w:t>
      </w:r>
      <w:r w:rsidRPr="00F263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  <w:r w:rsidR="00F263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4927B14" w14:textId="77777777" w:rsidR="007337D9" w:rsidRPr="0019272F" w:rsidRDefault="007337D9" w:rsidP="007337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megítélhető összeg mértéke:</w:t>
      </w:r>
    </w:p>
    <w:p w14:paraId="40BBE49D" w14:textId="77777777" w:rsidR="0019272F" w:rsidRPr="0019272F" w:rsidRDefault="0019272F" w:rsidP="0019272F">
      <w:pPr>
        <w:pStyle w:val="NormlWeb"/>
        <w:shd w:val="clear" w:color="auto" w:fill="FFFFFF"/>
        <w:spacing w:before="0" w:beforeAutospacing="0" w:after="360" w:afterAutospacing="0" w:line="408" w:lineRule="atLeast"/>
        <w:jc w:val="both"/>
      </w:pPr>
      <w:r w:rsidRPr="0019272F">
        <w:t>A benyújtott dokumentumok alapján a pályázatra megítélt ösztöndíj összege maximum a hallgató által a versenyre fordított összeg 80%-a.</w:t>
      </w:r>
    </w:p>
    <w:p w14:paraId="033E2C56" w14:textId="77777777" w:rsidR="0019272F" w:rsidRPr="0019272F" w:rsidRDefault="0019272F" w:rsidP="0019272F">
      <w:pPr>
        <w:pStyle w:val="NormlWeb"/>
        <w:shd w:val="clear" w:color="auto" w:fill="FFFFFF"/>
        <w:spacing w:before="0" w:beforeAutospacing="0" w:after="360" w:afterAutospacing="0" w:line="408" w:lineRule="atLeast"/>
        <w:jc w:val="both"/>
      </w:pPr>
      <w:r w:rsidRPr="0019272F">
        <w:t xml:space="preserve">Személyenként a </w:t>
      </w:r>
      <w:proofErr w:type="spellStart"/>
      <w:r w:rsidRPr="0019272F">
        <w:t>félévente</w:t>
      </w:r>
      <w:proofErr w:type="spellEnd"/>
      <w:r w:rsidRPr="0019272F">
        <w:t xml:space="preserve"> kifizethető összeg nem lehet több, mint a hallgatói normatíva 55%-a (</w:t>
      </w:r>
      <w:r w:rsidRPr="0019272F">
        <w:rPr>
          <w:rStyle w:val="Kiemels"/>
          <w:b/>
          <w:bCs/>
        </w:rPr>
        <w:t>91660 Ft</w:t>
      </w:r>
      <w:r w:rsidRPr="0019272F">
        <w:t>).</w:t>
      </w:r>
    </w:p>
    <w:p w14:paraId="2CE56DF2" w14:textId="77777777" w:rsidR="007337D9" w:rsidRPr="0019272F" w:rsidRDefault="007337D9" w:rsidP="007337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pályázat eredménye:</w:t>
      </w:r>
    </w:p>
    <w:p w14:paraId="78B7A12C" w14:textId="77777777" w:rsidR="007337D9" w:rsidRPr="0019272F" w:rsidRDefault="007337D9" w:rsidP="007337D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Az elbírált pályázatok eredményéről a hallgatót </w:t>
      </w:r>
      <w:r w:rsidRPr="0019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a </w:t>
      </w:r>
      <w:proofErr w:type="spellStart"/>
      <w:r w:rsidRPr="0019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Neptunban</w:t>
      </w:r>
      <w:proofErr w:type="spellEnd"/>
      <w:r w:rsidRPr="0019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, személyes üzenetben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 értesítjük.</w:t>
      </w:r>
    </w:p>
    <w:p w14:paraId="37AF0108" w14:textId="77777777" w:rsidR="007337D9" w:rsidRPr="0019272F" w:rsidRDefault="007337D9" w:rsidP="007337D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során megadott személyes adatok kezelésére, illetve feldolgozására a TTK KÖB tagjai, valamint az általuk megbízott személyek jogosultak. Ezen adatok kizárólag a leadott pályázat bírálata, illetve ehhez kapcsolódó feladatok ellátásához kerülnek felhasználásra. A 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személyes adatok kezelése és feldolgozása a hatályban lévő szabályzatoknak megfelelően zajlik. A személyes adatok kezelésével, védelmével kapcsolatban a pályázó a Nemzeti Adatvédelmi és Információszabadság Hatósághoz fordulhat, illetve bírósági jogorvoslattal élhet.</w:t>
      </w:r>
    </w:p>
    <w:p w14:paraId="4FC7670C" w14:textId="77777777" w:rsidR="007337D9" w:rsidRPr="0019272F" w:rsidRDefault="007337D9" w:rsidP="007337D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További fontos információk a megfelelő dokumentumokról:</w:t>
      </w:r>
    </w:p>
    <w:p w14:paraId="055FE8F7" w14:textId="1B975810" w:rsidR="00524872" w:rsidRDefault="007337D9" w:rsidP="00524872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A TTK KÖB </w:t>
      </w:r>
      <w:r w:rsidRPr="0019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csak PDF, JPEG, JPG és PNG</w:t>
      </w: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formátumú elektronikus dokumentumokat fogad el, tehát pl. </w:t>
      </w:r>
      <w:proofErr w:type="spellStart"/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doc</w:t>
      </w:r>
      <w:proofErr w:type="spellEnd"/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docx</w:t>
      </w:r>
      <w:proofErr w:type="spellEnd"/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kiterjesztésű dokumentumok NEM fogadhatóak el.</w:t>
      </w:r>
    </w:p>
    <w:p w14:paraId="26F2CE04" w14:textId="4194D298" w:rsidR="00524872" w:rsidRPr="00223D76" w:rsidRDefault="00524872" w:rsidP="00524872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aláírással érvényesítendő dokumentumok csak akkor fogadhatóak el, ha a hitelességet igazoló aláírás szerepel a dokumentumon, és az elektronikus dokumentumon ez egyértelműen látszódik és olvasható. A többoldalas dokumentumok csak az összes oldal feltöltésével érvényesek.</w:t>
      </w:r>
    </w:p>
    <w:p w14:paraId="55613D08" w14:textId="101C6E2C" w:rsidR="007337D9" w:rsidRPr="007E57D9" w:rsidRDefault="007337D9" w:rsidP="007337D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57D9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magyar nyelvű dokumentumoknál szükséges azok mellé a </w:t>
      </w:r>
      <w:r w:rsidRPr="007E5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saját fordítás</w:t>
      </w:r>
      <w:r w:rsidR="005F73A6" w:rsidRPr="007E5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/magyar nyelvű tartalmi kivonat</w:t>
      </w:r>
      <w:r w:rsidR="005F73A6" w:rsidRPr="007E57D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7E5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feltöltése</w:t>
      </w:r>
      <w:r w:rsidR="005F73A6" w:rsidRPr="007E57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66DA6" w:rsidRPr="007E57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(angolnál </w:t>
      </w:r>
      <w:r w:rsidR="00EE09B9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366DA6" w:rsidRPr="007E57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szükséges)!</w:t>
      </w:r>
    </w:p>
    <w:p w14:paraId="0E6F335A" w14:textId="77777777" w:rsidR="007337D9" w:rsidRPr="0019272F" w:rsidRDefault="007337D9" w:rsidP="007337D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sz w:val="24"/>
          <w:szCs w:val="24"/>
          <w:lang w:eastAsia="hu-HU"/>
        </w:rPr>
        <w:t>A feltöltött dokumentumok mérete egyenként nem haladhatja meg a 2 MB-ot.</w:t>
      </w:r>
    </w:p>
    <w:p w14:paraId="5B11B632" w14:textId="77777777" w:rsidR="007337D9" w:rsidRPr="0019272F" w:rsidRDefault="007337D9" w:rsidP="007337D9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Felhívjuk minden pályázó figyelmét, hogy a hamis adatközlés kari fegyelmi és/vagy büntetőjogi eljárás megindításával járhat!</w:t>
      </w:r>
    </w:p>
    <w:p w14:paraId="573979D7" w14:textId="40E34C8B" w:rsidR="0027237F" w:rsidRPr="003B3E1C" w:rsidRDefault="007337D9" w:rsidP="003B3E1C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Egyéb információkért, valamint a pályázatokkal kapcsolatos kérdésekkel írhattok az </w:t>
      </w:r>
      <w:r w:rsidR="00EE0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palyazati</w:t>
      </w:r>
      <w:r w:rsidRPr="00192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@ttkhok.elte.hu címre, illetve személyesen az Északi Hallgatói Irodában tájékozódhattok</w:t>
      </w:r>
      <w:r w:rsidR="003B3E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sectPr w:rsidR="0027237F" w:rsidRPr="003B3E1C" w:rsidSect="00272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BEDB" w14:textId="77777777" w:rsidR="002D360B" w:rsidRDefault="002D360B" w:rsidP="007337D9">
      <w:pPr>
        <w:spacing w:after="0" w:line="240" w:lineRule="auto"/>
      </w:pPr>
      <w:r>
        <w:separator/>
      </w:r>
    </w:p>
  </w:endnote>
  <w:endnote w:type="continuationSeparator" w:id="0">
    <w:p w14:paraId="478D66E6" w14:textId="77777777" w:rsidR="002D360B" w:rsidRDefault="002D360B" w:rsidP="0073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AC74" w14:textId="77777777" w:rsidR="007D64F0" w:rsidRDefault="007D64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-200734669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14:paraId="42FB97E5" w14:textId="77777777" w:rsidR="007D64F0" w:rsidRDefault="007D64F0">
        <w:pPr>
          <w:pStyle w:val="llb"/>
          <w:jc w:val="right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14:paraId="48FF0EDF" w14:textId="77777777" w:rsidR="007337D9" w:rsidRDefault="007337D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98A4" w14:textId="77777777" w:rsidR="007D64F0" w:rsidRDefault="007D64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087E" w14:textId="77777777" w:rsidR="002D360B" w:rsidRDefault="002D360B" w:rsidP="007337D9">
      <w:pPr>
        <w:spacing w:after="0" w:line="240" w:lineRule="auto"/>
      </w:pPr>
      <w:r>
        <w:separator/>
      </w:r>
    </w:p>
  </w:footnote>
  <w:footnote w:type="continuationSeparator" w:id="0">
    <w:p w14:paraId="14A59300" w14:textId="77777777" w:rsidR="002D360B" w:rsidRDefault="002D360B" w:rsidP="0073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7F88" w14:textId="77777777" w:rsidR="007D64F0" w:rsidRDefault="007D64F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4333" w14:textId="77777777" w:rsidR="007D64F0" w:rsidRDefault="007D64F0" w:rsidP="007D64F0">
    <w:pPr>
      <w:spacing w:line="240" w:lineRule="auto"/>
      <w:ind w:left="708" w:firstLine="708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92B05B" wp14:editId="17847E82">
          <wp:simplePos x="0" y="0"/>
          <wp:positionH relativeFrom="margin">
            <wp:posOffset>-129540</wp:posOffset>
          </wp:positionH>
          <wp:positionV relativeFrom="margin">
            <wp:posOffset>-1218565</wp:posOffset>
          </wp:positionV>
          <wp:extent cx="1038225" cy="1038225"/>
          <wp:effectExtent l="0" t="0" r="0" b="0"/>
          <wp:wrapSquare wrapText="bothSides"/>
          <wp:docPr id="1" name="Kép 1" descr="TTK HÖK, TTK HA és szakterületi logók plakátokhoz, promó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TTK HÖK, TTK HA és szakterületi logók plakátokhoz, promó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EÖTVÖS LORÁND TUDOMÁNYEGYETEM</w:t>
    </w:r>
  </w:p>
  <w:p w14:paraId="4078D9DD" w14:textId="77777777" w:rsidR="007D64F0" w:rsidRDefault="007D64F0" w:rsidP="007D64F0">
    <w:pPr>
      <w:spacing w:line="240" w:lineRule="auto"/>
      <w:ind w:left="567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TERMÉSZETTUDOMÁNYI KAR</w:t>
    </w:r>
  </w:p>
  <w:p w14:paraId="774AC10F" w14:textId="77777777" w:rsidR="007D64F0" w:rsidRDefault="007D64F0" w:rsidP="007D64F0">
    <w:pPr>
      <w:spacing w:line="240" w:lineRule="auto"/>
      <w:ind w:left="56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KARI ÖSZTÖNDÍJBIZOTTSÁG</w:t>
    </w:r>
  </w:p>
  <w:p w14:paraId="09DD4B1F" w14:textId="77777777" w:rsidR="007337D9" w:rsidRDefault="007337D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0040" w14:textId="77777777" w:rsidR="007D64F0" w:rsidRDefault="007D64F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5EC"/>
    <w:multiLevelType w:val="multilevel"/>
    <w:tmpl w:val="89DE7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D39B7"/>
    <w:multiLevelType w:val="multilevel"/>
    <w:tmpl w:val="B052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35774"/>
    <w:multiLevelType w:val="hybridMultilevel"/>
    <w:tmpl w:val="74FC6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9767F"/>
    <w:multiLevelType w:val="multilevel"/>
    <w:tmpl w:val="7A467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11942"/>
    <w:multiLevelType w:val="multilevel"/>
    <w:tmpl w:val="6746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613E8"/>
    <w:multiLevelType w:val="multilevel"/>
    <w:tmpl w:val="A520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C6C18"/>
    <w:multiLevelType w:val="multilevel"/>
    <w:tmpl w:val="6528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10566"/>
    <w:multiLevelType w:val="multilevel"/>
    <w:tmpl w:val="0CE4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8517D"/>
    <w:multiLevelType w:val="hybridMultilevel"/>
    <w:tmpl w:val="D952BFA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BB76E9"/>
    <w:multiLevelType w:val="multilevel"/>
    <w:tmpl w:val="204696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8374C"/>
    <w:multiLevelType w:val="multilevel"/>
    <w:tmpl w:val="5FE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843A31"/>
    <w:multiLevelType w:val="hybridMultilevel"/>
    <w:tmpl w:val="59801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15B54"/>
    <w:multiLevelType w:val="multilevel"/>
    <w:tmpl w:val="BF4A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5455F"/>
    <w:multiLevelType w:val="multilevel"/>
    <w:tmpl w:val="290C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882CAB"/>
    <w:multiLevelType w:val="multilevel"/>
    <w:tmpl w:val="CF188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E2E1D"/>
    <w:multiLevelType w:val="multilevel"/>
    <w:tmpl w:val="98EAC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EF6FF5"/>
    <w:multiLevelType w:val="multilevel"/>
    <w:tmpl w:val="A106D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38332">
    <w:abstractNumId w:val="7"/>
  </w:num>
  <w:num w:numId="2" w16cid:durableId="1379820675">
    <w:abstractNumId w:val="3"/>
  </w:num>
  <w:num w:numId="3" w16cid:durableId="1503856526">
    <w:abstractNumId w:val="1"/>
  </w:num>
  <w:num w:numId="4" w16cid:durableId="659575467">
    <w:abstractNumId w:val="15"/>
  </w:num>
  <w:num w:numId="5" w16cid:durableId="2010520896">
    <w:abstractNumId w:val="13"/>
  </w:num>
  <w:num w:numId="6" w16cid:durableId="1534466715">
    <w:abstractNumId w:val="16"/>
  </w:num>
  <w:num w:numId="7" w16cid:durableId="211771479">
    <w:abstractNumId w:val="0"/>
  </w:num>
  <w:num w:numId="8" w16cid:durableId="117799226">
    <w:abstractNumId w:val="9"/>
  </w:num>
  <w:num w:numId="9" w16cid:durableId="779297889">
    <w:abstractNumId w:val="14"/>
  </w:num>
  <w:num w:numId="10" w16cid:durableId="598561750">
    <w:abstractNumId w:val="12"/>
  </w:num>
  <w:num w:numId="11" w16cid:durableId="253320692">
    <w:abstractNumId w:val="10"/>
  </w:num>
  <w:num w:numId="12" w16cid:durableId="598804757">
    <w:abstractNumId w:val="8"/>
  </w:num>
  <w:num w:numId="13" w16cid:durableId="1270746926">
    <w:abstractNumId w:val="11"/>
  </w:num>
  <w:num w:numId="14" w16cid:durableId="603347984">
    <w:abstractNumId w:val="2"/>
  </w:num>
  <w:num w:numId="15" w16cid:durableId="677007858">
    <w:abstractNumId w:val="5"/>
  </w:num>
  <w:num w:numId="16" w16cid:durableId="323776892">
    <w:abstractNumId w:val="4"/>
  </w:num>
  <w:num w:numId="17" w16cid:durableId="518664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D9"/>
    <w:rsid w:val="000338B5"/>
    <w:rsid w:val="00102B7D"/>
    <w:rsid w:val="0012198C"/>
    <w:rsid w:val="00154C60"/>
    <w:rsid w:val="00186DBA"/>
    <w:rsid w:val="0019272F"/>
    <w:rsid w:val="001E718A"/>
    <w:rsid w:val="002000C4"/>
    <w:rsid w:val="00263A28"/>
    <w:rsid w:val="0027237F"/>
    <w:rsid w:val="002905AF"/>
    <w:rsid w:val="002C702F"/>
    <w:rsid w:val="002D2B6D"/>
    <w:rsid w:val="002D360B"/>
    <w:rsid w:val="002E40FC"/>
    <w:rsid w:val="0035335C"/>
    <w:rsid w:val="00364548"/>
    <w:rsid w:val="00366DA6"/>
    <w:rsid w:val="00390B32"/>
    <w:rsid w:val="003B3E1C"/>
    <w:rsid w:val="003C4441"/>
    <w:rsid w:val="004003E5"/>
    <w:rsid w:val="004C09D2"/>
    <w:rsid w:val="00524872"/>
    <w:rsid w:val="005A7A48"/>
    <w:rsid w:val="005C3E69"/>
    <w:rsid w:val="005E6B67"/>
    <w:rsid w:val="005F73A6"/>
    <w:rsid w:val="007337D9"/>
    <w:rsid w:val="007575D5"/>
    <w:rsid w:val="00782500"/>
    <w:rsid w:val="007D64F0"/>
    <w:rsid w:val="007E57D9"/>
    <w:rsid w:val="007F2F92"/>
    <w:rsid w:val="00851D00"/>
    <w:rsid w:val="00873026"/>
    <w:rsid w:val="00880422"/>
    <w:rsid w:val="008870E4"/>
    <w:rsid w:val="008A44E5"/>
    <w:rsid w:val="008D5C89"/>
    <w:rsid w:val="009404AD"/>
    <w:rsid w:val="009524A9"/>
    <w:rsid w:val="009C2C11"/>
    <w:rsid w:val="00A33A6D"/>
    <w:rsid w:val="00A34F7E"/>
    <w:rsid w:val="00AD3DE4"/>
    <w:rsid w:val="00AD55D6"/>
    <w:rsid w:val="00AD730C"/>
    <w:rsid w:val="00AE575E"/>
    <w:rsid w:val="00B33C18"/>
    <w:rsid w:val="00BA7A4C"/>
    <w:rsid w:val="00BD225B"/>
    <w:rsid w:val="00BF5954"/>
    <w:rsid w:val="00C03650"/>
    <w:rsid w:val="00C27DD2"/>
    <w:rsid w:val="00D83D9A"/>
    <w:rsid w:val="00DA40E8"/>
    <w:rsid w:val="00DC3269"/>
    <w:rsid w:val="00DD560D"/>
    <w:rsid w:val="00E32ACC"/>
    <w:rsid w:val="00E57B88"/>
    <w:rsid w:val="00E9077D"/>
    <w:rsid w:val="00EA7FD5"/>
    <w:rsid w:val="00EE09B9"/>
    <w:rsid w:val="00EE1F60"/>
    <w:rsid w:val="00EE7292"/>
    <w:rsid w:val="00EE760E"/>
    <w:rsid w:val="00F00203"/>
    <w:rsid w:val="00F2122C"/>
    <w:rsid w:val="00F263F9"/>
    <w:rsid w:val="00F75F14"/>
    <w:rsid w:val="00F960AB"/>
    <w:rsid w:val="00FD3FFA"/>
    <w:rsid w:val="00FE6CB7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6CF83"/>
  <w15:docId w15:val="{B80B52F8-6B24-4B9F-9B67-EEAA92D6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237F"/>
  </w:style>
  <w:style w:type="paragraph" w:styleId="Cmsor2">
    <w:name w:val="heading 2"/>
    <w:basedOn w:val="Norml"/>
    <w:link w:val="Cmsor2Char"/>
    <w:uiPriority w:val="9"/>
    <w:qFormat/>
    <w:rsid w:val="00733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33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37D9"/>
  </w:style>
  <w:style w:type="paragraph" w:styleId="llb">
    <w:name w:val="footer"/>
    <w:basedOn w:val="Norml"/>
    <w:link w:val="llbChar"/>
    <w:uiPriority w:val="99"/>
    <w:unhideWhenUsed/>
    <w:rsid w:val="0073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37D9"/>
  </w:style>
  <w:style w:type="character" w:customStyle="1" w:styleId="Cmsor2Char">
    <w:name w:val="Címsor 2 Char"/>
    <w:basedOn w:val="Bekezdsalapbettpusa"/>
    <w:link w:val="Cmsor2"/>
    <w:uiPriority w:val="9"/>
    <w:rsid w:val="007337D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337D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7337D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3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337D9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7337D9"/>
    <w:rPr>
      <w:i/>
      <w:iCs/>
    </w:rPr>
  </w:style>
  <w:style w:type="paragraph" w:styleId="Listaszerbekezds">
    <w:name w:val="List Paragraph"/>
    <w:basedOn w:val="Norml"/>
    <w:uiPriority w:val="34"/>
    <w:qFormat/>
    <w:rsid w:val="0073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lte.hu/dstore/document/689/ELTE_SZMSZ_II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Silling Bianka</dc:creator>
  <cp:lastModifiedBy>Mészáros Dorottya</cp:lastModifiedBy>
  <cp:revision>3</cp:revision>
  <dcterms:created xsi:type="dcterms:W3CDTF">2024-06-14T16:38:00Z</dcterms:created>
  <dcterms:modified xsi:type="dcterms:W3CDTF">2024-06-18T07:17:00Z</dcterms:modified>
</cp:coreProperties>
</file>